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66"/>
      <w:bookmarkStart w:id="1" w:name="OLE_LINK67"/>
      <w:bookmarkStart w:id="2" w:name="OLE_LINK12"/>
      <w:bookmarkStart w:id="3" w:name="OLE_LINK13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8C4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4" w:name="OLE_LINK1"/>
      <w:bookmarkStart w:id="5" w:name="OLE_LINK2"/>
      <w:bookmarkStart w:id="6" w:name="OLE_LINK6"/>
      <w:bookmarkStart w:id="7" w:name="OLE_LINK7"/>
      <w:bookmarkStart w:id="8" w:name="OLE_LINK8"/>
      <w:bookmarkEnd w:id="0"/>
      <w:bookmarkEnd w:id="1"/>
    </w:p>
    <w:p w:rsidR="00A83129" w:rsidRDefault="008C4385" w:rsidP="00A83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„</w:t>
      </w:r>
      <w:bookmarkStart w:id="9" w:name="OLE_LINK17"/>
      <w:bookmarkStart w:id="10" w:name="OLE_LINK18"/>
      <w:bookmarkStart w:id="11" w:name="OLE_LINK19"/>
      <w:bookmarkStart w:id="12" w:name="OLE_LINK20"/>
      <w:bookmarkEnd w:id="2"/>
      <w:bookmarkEnd w:id="3"/>
      <w:bookmarkEnd w:id="4"/>
      <w:bookmarkEnd w:id="5"/>
      <w:bookmarkEnd w:id="6"/>
      <w:bookmarkEnd w:id="7"/>
      <w:bookmarkEnd w:id="8"/>
      <w:r w:rsidR="00A83129"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” </w:t>
      </w:r>
      <w:bookmarkStart w:id="13" w:name="OLE_LINK42"/>
      <w:bookmarkStart w:id="14" w:name="OLE_LINK43"/>
      <w:bookmarkStart w:id="15" w:name="OLE_LINK47"/>
      <w:r w:rsidR="00A83129"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cotele </w:t>
      </w:r>
      <w:r w:rsidR="00A83129" w:rsidRPr="007E02A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concrete </w:t>
      </w:r>
      <w:r w:rsidR="00A83129"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impozitului </w:t>
      </w:r>
    </w:p>
    <w:p w:rsidR="00A83129" w:rsidRPr="005E5C00" w:rsidRDefault="00A83129" w:rsidP="00A83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funciar şi imobiliar pentru anul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</w:t>
      </w:r>
      <w:bookmarkEnd w:id="9"/>
      <w:bookmarkEnd w:id="10"/>
      <w:bookmarkEnd w:id="11"/>
      <w:bookmarkEnd w:id="12"/>
      <w:bookmarkEnd w:id="13"/>
      <w:bookmarkEnd w:id="14"/>
      <w:bookmarkEnd w:id="15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.”</w:t>
      </w:r>
    </w:p>
    <w:p w:rsidR="00A83129" w:rsidRDefault="00A83129" w:rsidP="00A831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83129" w:rsidRPr="00A724A2" w:rsidRDefault="00A83129" w:rsidP="00A831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 din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fiscal,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nr.1163-XIII din 24.04.1997,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punere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titlului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 din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fiscal nr.1056-XV din 16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iunie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2000,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completările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cu</w:t>
      </w:r>
      <w:r w:rsidRPr="00A724A2">
        <w:rPr>
          <w:lang w:val="en-US"/>
        </w:rPr>
        <w:t xml:space="preserve"> </w:t>
      </w:r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art.14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proofErr w:type="gram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.(</w:t>
      </w:r>
      <w:proofErr w:type="gram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lit.a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al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nr.436 din 28.12.2006, 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finanțelor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responsabilității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bugetar-fiscale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181 din 25.07.2014, cu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finanțele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nr.397-XV din 16.10.2003;,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A76FC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A76FC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A76FC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="00A76FC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76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="00A76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="00A76FC7"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bookmarkStart w:id="16" w:name="_GoBack"/>
      <w:bookmarkEnd w:id="16"/>
      <w:proofErr w:type="spellEnd"/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A724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Zorile,</w:t>
      </w:r>
    </w:p>
    <w:p w:rsidR="00A83129" w:rsidRDefault="00A83129" w:rsidP="00A831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83129" w:rsidRDefault="00A83129" w:rsidP="00A83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A83129" w:rsidRPr="00A724A2" w:rsidRDefault="00A83129" w:rsidP="00A831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2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DECIDE: </w:t>
      </w:r>
    </w:p>
    <w:p w:rsidR="00A83129" w:rsidRPr="007E02A7" w:rsidRDefault="00A83129" w:rsidP="00A8312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stabilesc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cotele</w:t>
      </w:r>
      <w:proofErr w:type="spellEnd"/>
      <w:r w:rsidRPr="007E02A7">
        <w:rPr>
          <w:lang w:val="en-US"/>
        </w:rPr>
        <w:t xml:space="preserve"> 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concrete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impozitului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imobiliare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2019, </w:t>
      </w:r>
      <w:r w:rsidRPr="007E02A7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anexei nr.1</w:t>
      </w:r>
      <w:proofErr w:type="gramStart"/>
      <w:r w:rsidRPr="007E02A7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83129" w:rsidRPr="007E02A7" w:rsidRDefault="00A83129" w:rsidP="00A83129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E02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prezentei decizii se pune pe seama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specialistului Guler Victoria. </w:t>
      </w:r>
    </w:p>
    <w:p w:rsidR="008C4385" w:rsidRDefault="008C4385" w:rsidP="00A83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83129" w:rsidRDefault="00A83129" w:rsidP="00A83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83129" w:rsidRPr="005E5C00" w:rsidRDefault="00A83129" w:rsidP="00A83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8C4385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C4385" w:rsidRDefault="008C4385" w:rsidP="008C4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7" w:name="OLE_LINK77"/>
      <w:bookmarkStart w:id="18" w:name="OLE_LINK78"/>
      <w:bookmarkStart w:id="19" w:name="OLE_LINK79"/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</w:t>
      </w:r>
    </w:p>
    <w:p w:rsidR="00780858" w:rsidRPr="00780858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78085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</w:t>
      </w:r>
      <w:proofErr w:type="gramEnd"/>
      <w:r w:rsidRPr="00780858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decizie</w:t>
      </w:r>
      <w:r w:rsidRPr="007808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nr.___ din____________.2018</w:t>
      </w:r>
    </w:p>
    <w:p w:rsidR="00780858" w:rsidRPr="00780858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808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bookmarkEnd w:id="17"/>
    <w:bookmarkEnd w:id="18"/>
    <w:bookmarkEnd w:id="19"/>
    <w:p w:rsidR="00780858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80858" w:rsidRDefault="00780858" w:rsidP="00780858">
      <w:pPr>
        <w:tabs>
          <w:tab w:val="left" w:pos="1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80858" w:rsidRDefault="00780858" w:rsidP="00780858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otele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concrete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impozitului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bunurile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imobiliare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impozitul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</w:t>
      </w:r>
    </w:p>
    <w:p w:rsidR="00780858" w:rsidRDefault="00780858" w:rsidP="00780858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9135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6208"/>
        <w:gridCol w:w="163"/>
        <w:gridCol w:w="71"/>
        <w:gridCol w:w="1817"/>
      </w:tblGrid>
      <w:tr w:rsidR="00780858" w:rsidRPr="007E02A7" w:rsidTr="0067652B">
        <w:trPr>
          <w:trHeight w:val="285"/>
        </w:trPr>
        <w:tc>
          <w:tcPr>
            <w:tcW w:w="876" w:type="dxa"/>
          </w:tcPr>
          <w:p w:rsidR="00780858" w:rsidRPr="007E02A7" w:rsidRDefault="00780858" w:rsidP="0067652B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>Nr. d/o</w:t>
            </w:r>
          </w:p>
        </w:tc>
        <w:tc>
          <w:tcPr>
            <w:tcW w:w="6371" w:type="dxa"/>
            <w:gridSpan w:val="2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impunerii</w:t>
            </w:r>
            <w:proofErr w:type="spellEnd"/>
          </w:p>
        </w:tc>
        <w:tc>
          <w:tcPr>
            <w:tcW w:w="1888" w:type="dxa"/>
            <w:gridSpan w:val="2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Cotele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80858" w:rsidRPr="00A76FC7" w:rsidTr="0067652B">
        <w:trPr>
          <w:trHeight w:val="255"/>
        </w:trPr>
        <w:tc>
          <w:tcPr>
            <w:tcW w:w="9135" w:type="dxa"/>
            <w:gridSpan w:val="5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concrete la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evaluate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(conform art. 280 din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titlul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VI al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Codului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fiscal</w:t>
            </w:r>
          </w:p>
        </w:tc>
      </w:tr>
      <w:tr w:rsidR="00780858" w:rsidRPr="007E02A7" w:rsidTr="0067652B">
        <w:trPr>
          <w:trHeight w:val="285"/>
        </w:trPr>
        <w:tc>
          <w:tcPr>
            <w:tcW w:w="876" w:type="dxa"/>
          </w:tcPr>
          <w:p w:rsidR="00780858" w:rsidRPr="007E02A7" w:rsidRDefault="00780858" w:rsidP="0067652B"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88" w:type="dxa"/>
            <w:gridSpan w:val="2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780858" w:rsidRPr="00A76FC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780858">
            <w:pPr>
              <w:pStyle w:val="a3"/>
              <w:numPr>
                <w:ilvl w:val="0"/>
                <w:numId w:val="3"/>
              </w:num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cu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apartamente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case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locuit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individuale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aferente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acestor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);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>0</w:t>
            </w:r>
            <w:proofErr w:type="gramStart"/>
            <w:r w:rsidRPr="007E02A7">
              <w:rPr>
                <w:rFonts w:ascii="Times New Roman" w:hAnsi="Times New Roman" w:cs="Times New Roman"/>
                <w:lang w:val="en-US"/>
              </w:rPr>
              <w:t>,1</w:t>
            </w:r>
            <w:proofErr w:type="gramEnd"/>
            <w:r w:rsidRPr="007E02A7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costul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80858" w:rsidRPr="00A76FC7" w:rsidTr="0067652B">
        <w:trPr>
          <w:trHeight w:val="285"/>
        </w:trPr>
        <w:tc>
          <w:tcPr>
            <w:tcW w:w="876" w:type="dxa"/>
          </w:tcPr>
          <w:p w:rsidR="00780858" w:rsidRPr="007E02A7" w:rsidRDefault="00780858" w:rsidP="00780858">
            <w:pPr>
              <w:pStyle w:val="a3"/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garajele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acestea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888" w:type="dxa"/>
            <w:gridSpan w:val="2"/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  <w:proofErr w:type="gram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780858" w:rsidRPr="00A76FC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780858">
            <w:pPr>
              <w:pStyle w:val="a3"/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7E02A7">
              <w:rPr>
                <w:rFonts w:ascii="Times New Roman" w:hAnsi="Times New Roman" w:cs="Times New Roman"/>
                <w:lang w:val="en-US"/>
              </w:rPr>
              <w:t>loturile</w:t>
            </w:r>
            <w:proofErr w:type="spellEnd"/>
            <w:proofErr w:type="gram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întovărășirilor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pomicole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  <w:proofErr w:type="gram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780858" w:rsidRPr="00A76FC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780858">
            <w:pPr>
              <w:pStyle w:val="a3"/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0,3 la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contabilă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perioada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fiscală</w:t>
            </w:r>
            <w:proofErr w:type="spellEnd"/>
          </w:p>
        </w:tc>
      </w:tr>
      <w:tr w:rsidR="00780858" w:rsidRPr="00A76FC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780858">
            <w:pPr>
              <w:pStyle w:val="a3"/>
              <w:numPr>
                <w:ilvl w:val="0"/>
                <w:numId w:val="3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altă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cea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agricolă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exceptînd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garajele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acestea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loturile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întovărășirilor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pomicole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ele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0,1 la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</w:p>
        </w:tc>
      </w:tr>
      <w:tr w:rsidR="00780858" w:rsidRPr="00A76FC7" w:rsidTr="0067652B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la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impozitul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funciar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scopul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impozitării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(conform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Anexei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nr. 1 la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Legea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punerea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aplicare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titlului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VI din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Codul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fiscal nr.1056 din16.06.2000</w:t>
            </w:r>
            <w:r w:rsidRPr="007E02A7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80858" w:rsidRPr="00A76FC7" w:rsidTr="0067652B">
        <w:trPr>
          <w:trHeight w:val="10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agricolă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80858" w:rsidRPr="007E02A7" w:rsidRDefault="00780858" w:rsidP="00780858">
            <w:pPr>
              <w:pStyle w:val="a3"/>
              <w:numPr>
                <w:ilvl w:val="0"/>
                <w:numId w:val="4"/>
              </w:numPr>
              <w:tabs>
                <w:tab w:val="left" w:pos="18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decît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80858" w:rsidRPr="007E02A7" w:rsidRDefault="00780858" w:rsidP="00780858">
            <w:pPr>
              <w:pStyle w:val="a3"/>
              <w:numPr>
                <w:ilvl w:val="0"/>
                <w:numId w:val="5"/>
              </w:numPr>
              <w:tabs>
                <w:tab w:val="left" w:pos="18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  <w:p w:rsidR="00780858" w:rsidRPr="007E02A7" w:rsidRDefault="00780858" w:rsidP="0067652B">
            <w:pPr>
              <w:pStyle w:val="a3"/>
              <w:tabs>
                <w:tab w:val="left" w:pos="18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0858" w:rsidRPr="007E02A7" w:rsidRDefault="00780858" w:rsidP="00780858">
            <w:pPr>
              <w:pStyle w:val="a3"/>
              <w:numPr>
                <w:ilvl w:val="0"/>
                <w:numId w:val="5"/>
              </w:numPr>
              <w:tabs>
                <w:tab w:val="left" w:pos="1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nu au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ţărăneşti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858" w:rsidRPr="007E02A7" w:rsidTr="0067652B">
        <w:trPr>
          <w:trHeight w:val="5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</w:rPr>
              <w:t xml:space="preserve">1,5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grad-hectar</w:t>
            </w:r>
            <w:proofErr w:type="spellEnd"/>
          </w:p>
        </w:tc>
      </w:tr>
      <w:tr w:rsidR="00780858" w:rsidRPr="007E02A7" w:rsidTr="0067652B">
        <w:trPr>
          <w:trHeight w:val="51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</w:rPr>
              <w:t xml:space="preserve">110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hectar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780858" w:rsidRPr="00A76FC7" w:rsidTr="0067652B">
        <w:trPr>
          <w:trHeight w:val="4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pStyle w:val="a3"/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fînețelor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pășunilor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a)care au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care nu au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cadastrali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858" w:rsidRPr="007E02A7" w:rsidTr="0067652B">
        <w:trPr>
          <w:trHeight w:val="34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pStyle w:val="a3"/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</w:rPr>
              <w:t xml:space="preserve">0,75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grad-hectar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780858" w:rsidRPr="007E02A7" w:rsidTr="0067652B">
        <w:trPr>
          <w:trHeight w:val="43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pStyle w:val="a3"/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</w:rPr>
              <w:t xml:space="preserve">55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hectar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780858" w:rsidRPr="00A76FC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pStyle w:val="a3"/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ocupate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acvatice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iazuri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lacuri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</w:t>
            </w:r>
            <w:proofErr w:type="spellEnd"/>
            <w:r w:rsidRPr="007E0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115 lei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1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hectar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suprafaţă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acvatică</w:t>
            </w:r>
            <w:proofErr w:type="spellEnd"/>
          </w:p>
        </w:tc>
      </w:tr>
      <w:tr w:rsidR="00780858" w:rsidRPr="007E02A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80858" w:rsidRPr="007E02A7" w:rsidRDefault="00780858" w:rsidP="00780858">
            <w:pPr>
              <w:pStyle w:val="a3"/>
              <w:numPr>
                <w:ilvl w:val="0"/>
                <w:numId w:val="6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fondul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locuințe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loturi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lîngă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atribuite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autoritățile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locale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loturi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lingă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domiciliu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distribuite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din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cauza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insuficienței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intravilan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grădini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))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localitățile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rurale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m</w:t>
            </w: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80858" w:rsidRPr="007E02A7" w:rsidTr="0067652B">
        <w:trPr>
          <w:trHeight w:val="28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proofErr w:type="gram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destinate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întreprinderilor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agricole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estimate.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lei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</w:rPr>
              <w:t xml:space="preserve"> 100 m</w:t>
            </w:r>
            <w:r w:rsidRPr="007E02A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7E02A7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780858" w:rsidRPr="007E02A7" w:rsidTr="0067652B">
        <w:trPr>
          <w:trHeight w:val="177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6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extravilan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780858" w:rsidRPr="007E02A7" w:rsidRDefault="00780858" w:rsidP="00780858">
            <w:pPr>
              <w:pStyle w:val="a3"/>
              <w:numPr>
                <w:ilvl w:val="1"/>
                <w:numId w:val="4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amplasate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clădiri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construcții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carierele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pămînturile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distruse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urma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producție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estimate;</w:t>
            </w:r>
          </w:p>
          <w:p w:rsidR="00780858" w:rsidRPr="007E02A7" w:rsidRDefault="00780858" w:rsidP="0067652B">
            <w:pPr>
              <w:pStyle w:val="a3"/>
              <w:tabs>
                <w:tab w:val="left" w:pos="180"/>
              </w:tabs>
              <w:spacing w:after="0" w:line="360" w:lineRule="auto"/>
              <w:ind w:left="127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0858" w:rsidRPr="007E02A7" w:rsidRDefault="00780858" w:rsidP="00780858">
            <w:pPr>
              <w:pStyle w:val="a3"/>
              <w:numPr>
                <w:ilvl w:val="1"/>
                <w:numId w:val="4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7E02A7">
              <w:rPr>
                <w:rFonts w:ascii="Times New Roman" w:hAnsi="Times New Roman" w:cs="Times New Roman"/>
                <w:lang w:val="en-US"/>
              </w:rPr>
              <w:t>terenurile</w:t>
            </w:r>
            <w:proofErr w:type="spellEnd"/>
            <w:proofErr w:type="gram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alin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. 1),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estimate.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350 lei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hectar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858" w:rsidRPr="007E02A7" w:rsidTr="0067652B">
        <w:trPr>
          <w:trHeight w:val="126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 lei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hectar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80858" w:rsidRPr="00A76FC7" w:rsidTr="0067652B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Cotele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concrete la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impozitul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clădirile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construcţiile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casele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locuit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individuale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apartamentele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şi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alte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încăperi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izolate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inclusive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aflate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etapă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finisare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construcţiei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50%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şi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mult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rămase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nefinisate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timp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3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după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începutul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lucrărilor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construcţie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scopul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impozitării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(conform Anexei.2 la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Legea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punerea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aplicare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titlului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VI din </w:t>
            </w:r>
            <w:proofErr w:type="spellStart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Codul</w:t>
            </w:r>
            <w:proofErr w:type="spellEnd"/>
            <w:r w:rsidRPr="007E02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fiscal nr.1056 din 16.06.2000)</w:t>
            </w:r>
          </w:p>
        </w:tc>
      </w:tr>
      <w:tr w:rsidR="00780858" w:rsidRPr="00A76FC7" w:rsidTr="0067652B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9.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clădirile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construcțiile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agricolă,garajele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construcţiileamplasatepeterenurileloturilorîntovărăşirilorpomicole,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estimate,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a)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desfășoară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b) </w:t>
            </w:r>
            <w:proofErr w:type="spellStart"/>
            <w:proofErr w:type="gramStart"/>
            <w:r w:rsidRPr="007E02A7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proofErr w:type="gram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la lit. a).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 0,3 la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contabilă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perioada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fiscală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858" w:rsidRPr="00A76FC7" w:rsidTr="0067652B">
        <w:trPr>
          <w:trHeight w:val="11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proofErr w:type="gram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  <w:proofErr w:type="gram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costul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780858" w:rsidRPr="00A76FC7" w:rsidTr="0067652B">
        <w:trPr>
          <w:trHeight w:val="121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pct. 9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pct.11,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neevaluate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organele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cadastrale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teritoriale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valorii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estimate,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780858" w:rsidRPr="007E02A7" w:rsidRDefault="00780858" w:rsidP="00780858">
            <w:pPr>
              <w:pStyle w:val="a3"/>
              <w:numPr>
                <w:ilvl w:val="0"/>
                <w:numId w:val="7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juridice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desfășoară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activitate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întreprinzător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80858" w:rsidRPr="007E02A7" w:rsidRDefault="00780858" w:rsidP="00780858">
            <w:pPr>
              <w:pStyle w:val="a3"/>
              <w:numPr>
                <w:ilvl w:val="0"/>
                <w:numId w:val="7"/>
              </w:num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E02A7">
              <w:rPr>
                <w:rFonts w:ascii="Times New Roman" w:hAnsi="Times New Roman" w:cs="Times New Roman"/>
                <w:lang w:val="en-US"/>
              </w:rPr>
              <w:t>persoanele</w:t>
            </w:r>
            <w:proofErr w:type="spellEnd"/>
            <w:proofErr w:type="gram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altele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decît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cele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lang w:val="en-US"/>
              </w:rPr>
              <w:t>specificate</w:t>
            </w:r>
            <w:proofErr w:type="spellEnd"/>
            <w:r w:rsidRPr="007E02A7">
              <w:rPr>
                <w:rFonts w:ascii="Times New Roman" w:hAnsi="Times New Roman" w:cs="Times New Roman"/>
                <w:lang w:val="en-US"/>
              </w:rPr>
              <w:t xml:space="preserve"> la lit. a)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858" w:rsidRPr="00A76FC7" w:rsidTr="0067652B">
        <w:trPr>
          <w:trHeight w:val="63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0,1 la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sută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valoarea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contabilă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bunurilor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imobiliare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pe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perioada</w:t>
            </w:r>
            <w:proofErr w:type="spellEnd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E02A7">
              <w:rPr>
                <w:rFonts w:ascii="Times New Roman" w:eastAsia="Times New Roman" w:hAnsi="Times New Roman" w:cs="Times New Roman"/>
                <w:lang w:val="en-US" w:eastAsia="ru-RU"/>
              </w:rPr>
              <w:t>fiscală</w:t>
            </w:r>
            <w:proofErr w:type="spellEnd"/>
          </w:p>
        </w:tc>
      </w:tr>
      <w:tr w:rsidR="00780858" w:rsidRPr="00A76FC7" w:rsidTr="0067652B">
        <w:trPr>
          <w:trHeight w:val="40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E02A7">
              <w:rPr>
                <w:rFonts w:ascii="Times New Roman" w:eastAsia="Times New Roman" w:hAnsi="Times New Roman" w:cs="Times New Roman"/>
                <w:lang w:val="ro-RO" w:eastAsia="ru-RU"/>
              </w:rPr>
              <w:t>0,1 la sută din costul bunurilor imobiliare</w:t>
            </w:r>
            <w:r w:rsidRPr="007E02A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780858" w:rsidRPr="00A76FC7" w:rsidTr="0067652B">
        <w:trPr>
          <w:trHeight w:val="28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Nota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cazurile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care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suprafața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totală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locuințelor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și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construcțiilor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principale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ale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persoanelor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fizice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care nu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desfășoară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activitate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întreprinzător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înregistrate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drept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proprietate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depășește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100 m2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cotele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concrete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stabilite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ale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impozitului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bunurile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imobiliare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se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majorează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funcție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suprafața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totală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după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cum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urmează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7E02A7">
              <w:rPr>
                <w:rFonts w:ascii="Times New Roman" w:hAnsi="Times New Roman" w:cs="Times New Roman"/>
                <w:i/>
                <w:lang w:val="en-US"/>
              </w:rPr>
              <w:t>- de la 100 la 150 m</w:t>
            </w:r>
            <w:r w:rsidRPr="007E02A7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– de 1,5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>;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- de la 150 la 200 m</w:t>
            </w:r>
            <w:r w:rsidRPr="007E02A7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– de 2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7E02A7">
              <w:rPr>
                <w:rFonts w:ascii="Times New Roman" w:hAnsi="Times New Roman" w:cs="Times New Roman"/>
                <w:i/>
                <w:lang w:val="en-US"/>
              </w:rPr>
              <w:t>- de la 200 la 300 m</w:t>
            </w:r>
            <w:r w:rsidRPr="007E02A7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inclusiv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– de 10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- </w:t>
            </w:r>
            <w:proofErr w:type="spellStart"/>
            <w:proofErr w:type="gram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peste</w:t>
            </w:r>
            <w:proofErr w:type="spellEnd"/>
            <w:proofErr w:type="gram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300 m</w:t>
            </w:r>
            <w:r w:rsidRPr="007E02A7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– de 15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ori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</w:p>
          <w:p w:rsidR="00780858" w:rsidRPr="007E02A7" w:rsidRDefault="00780858" w:rsidP="0067652B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Construcție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principală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–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construcție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înregistrată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cu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drept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proprietate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a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persoanei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fizice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, care are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destinație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locuință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şi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nu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este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antrenată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activitatea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 xml:space="preserve"> de </w:t>
            </w:r>
            <w:proofErr w:type="spellStart"/>
            <w:r w:rsidRPr="007E02A7">
              <w:rPr>
                <w:rFonts w:ascii="Times New Roman" w:hAnsi="Times New Roman" w:cs="Times New Roman"/>
                <w:i/>
                <w:lang w:val="en-US"/>
              </w:rPr>
              <w:t>întreprinzător</w:t>
            </w:r>
            <w:proofErr w:type="spellEnd"/>
            <w:r w:rsidRPr="007E02A7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</w:tbl>
    <w:p w:rsidR="00780858" w:rsidRPr="007E02A7" w:rsidRDefault="00780858" w:rsidP="00780858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Pr="007E02A7" w:rsidRDefault="00780858" w:rsidP="00780858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80858" w:rsidRPr="007E02A7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80858" w:rsidRPr="007E02A7" w:rsidRDefault="00780858" w:rsidP="00780858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Contrasemnează</w:t>
      </w:r>
      <w:proofErr w:type="spellEnd"/>
      <w:r w:rsidRPr="007E0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 </w:t>
      </w:r>
    </w:p>
    <w:p w:rsidR="00780858" w:rsidRPr="007E02A7" w:rsidRDefault="00780858" w:rsidP="00780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7E02A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E02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E02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780858" w:rsidRPr="007E02A7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Pr="007E02A7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80858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80858" w:rsidRPr="007E02A7" w:rsidRDefault="00780858" w:rsidP="00780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780858" w:rsidRPr="007E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9BB"/>
    <w:multiLevelType w:val="hybridMultilevel"/>
    <w:tmpl w:val="8C6225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4A02"/>
    <w:multiLevelType w:val="hybridMultilevel"/>
    <w:tmpl w:val="A8147192"/>
    <w:lvl w:ilvl="0" w:tplc="0419000F">
      <w:start w:val="1"/>
      <w:numFmt w:val="decimal"/>
      <w:lvlText w:val="%1."/>
      <w:lvlJc w:val="left"/>
      <w:pPr>
        <w:ind w:left="551" w:hanging="360"/>
      </w:pPr>
    </w:lvl>
    <w:lvl w:ilvl="1" w:tplc="96CA42BC">
      <w:start w:val="1"/>
      <w:numFmt w:val="decimal"/>
      <w:lvlText w:val="%2)"/>
      <w:lvlJc w:val="left"/>
      <w:pPr>
        <w:ind w:left="12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18D221B"/>
    <w:multiLevelType w:val="hybridMultilevel"/>
    <w:tmpl w:val="17D219C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5D7CBA"/>
    <w:multiLevelType w:val="hybridMultilevel"/>
    <w:tmpl w:val="A1BE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B3F36"/>
    <w:multiLevelType w:val="hybridMultilevel"/>
    <w:tmpl w:val="73F87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2674DB"/>
    <w:multiLevelType w:val="hybridMultilevel"/>
    <w:tmpl w:val="25406F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561F0B"/>
    <w:rsid w:val="006934A2"/>
    <w:rsid w:val="006A72F0"/>
    <w:rsid w:val="00780858"/>
    <w:rsid w:val="008C4385"/>
    <w:rsid w:val="00A76FC7"/>
    <w:rsid w:val="00A83129"/>
    <w:rsid w:val="00E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2018-11-22T14:28:00Z</dcterms:created>
  <dcterms:modified xsi:type="dcterms:W3CDTF">2018-11-22T16:10:00Z</dcterms:modified>
</cp:coreProperties>
</file>