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BF530A" w:rsidRPr="00FE5948" w:rsidTr="00440FDA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F530A" w:rsidRPr="00FE5948" w:rsidRDefault="00BF530A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BF530A" w:rsidRPr="00FE5948" w:rsidRDefault="00BF530A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BF530A" w:rsidRPr="00FE5948" w:rsidRDefault="00BF530A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BF530A" w:rsidRPr="00FE5948" w:rsidRDefault="00BF530A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BF530A" w:rsidRPr="00FE5948" w:rsidRDefault="00BF530A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BF530A" w:rsidRPr="00FE5948" w:rsidRDefault="00BF530A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F530A" w:rsidRPr="00FE5948" w:rsidRDefault="00BF530A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5A814C46" wp14:editId="2D580C25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F530A" w:rsidRPr="00FE5948" w:rsidRDefault="00BF530A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BF530A" w:rsidRPr="00FE5948" w:rsidRDefault="00BF530A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BF530A" w:rsidRPr="00FE5948" w:rsidRDefault="00BF530A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BF530A" w:rsidRPr="00FE5948" w:rsidRDefault="00BF530A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BF530A" w:rsidRPr="00FE5948" w:rsidRDefault="00BF530A" w:rsidP="00440FD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BF530A" w:rsidRPr="00FE5948" w:rsidRDefault="00BF530A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BF530A" w:rsidRDefault="00BF530A" w:rsidP="00BF5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Proiect de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ZIE10/4 din 06.12.2019</w:t>
      </w:r>
    </w:p>
    <w:p w:rsidR="00BF530A" w:rsidRDefault="00BF530A" w:rsidP="00BF5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B17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Comunal Zorile</w:t>
      </w:r>
    </w:p>
    <w:p w:rsidR="00BF530A" w:rsidRDefault="00BF530A" w:rsidP="00BF530A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F530A" w:rsidRDefault="00BF530A" w:rsidP="00BF5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OLE_LINK17"/>
      <w:bookmarkStart w:id="1" w:name="OLE_LINK18"/>
      <w:bookmarkStart w:id="2" w:name="OLE_LINK19"/>
      <w:bookmarkStart w:id="3" w:name="OLE_LINK20"/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” </w:t>
      </w:r>
      <w:bookmarkStart w:id="4" w:name="OLE_LINK42"/>
      <w:bookmarkStart w:id="5" w:name="OLE_LINK43"/>
      <w:bookmarkStart w:id="6" w:name="OLE_LINK47"/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cotele </w:t>
      </w:r>
      <w:r w:rsidRPr="007E02A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concrete </w:t>
      </w: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impozitului </w:t>
      </w:r>
    </w:p>
    <w:p w:rsidR="00BF530A" w:rsidRPr="005E5C00" w:rsidRDefault="00BF530A" w:rsidP="00BF5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funciar şi imobiliar pentru anul 20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</w:t>
      </w: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.”</w:t>
      </w:r>
    </w:p>
    <w:p w:rsidR="00BF530A" w:rsidRDefault="00BF530A" w:rsidP="00BF53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F530A" w:rsidRPr="00A724A2" w:rsidRDefault="00BF530A" w:rsidP="00BF53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 din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fiscal,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nr.1163-XIII din 24.04.1997,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punere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aplicare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titlului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 din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fiscal nr.1056-XV din 16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iunie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2000,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completările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cu</w:t>
      </w:r>
      <w:r w:rsidRPr="00A724A2">
        <w:rPr>
          <w:lang w:val="en-US"/>
        </w:rPr>
        <w:t xml:space="preserve"> </w:t>
      </w:r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art.14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proofErr w:type="gram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.(</w:t>
      </w:r>
      <w:proofErr w:type="gram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lit.a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al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nr.436 din 28.12.2006, 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finanțelor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responsabilității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bugetar-fiscale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181 din 25.07.2014,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finanțele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cale nr.397-XV din 16.10.2003,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A72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 Comunal Zorile,</w:t>
      </w:r>
    </w:p>
    <w:p w:rsidR="00BF530A" w:rsidRDefault="00BF530A" w:rsidP="00BF53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F530A" w:rsidRDefault="00BF530A" w:rsidP="00BF53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BF530A" w:rsidRPr="00852AD0" w:rsidRDefault="00BF530A" w:rsidP="00BF53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52A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DECIDE: </w:t>
      </w:r>
    </w:p>
    <w:p w:rsidR="00BF530A" w:rsidRPr="007B356C" w:rsidRDefault="00BF530A" w:rsidP="00BF530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stabilesc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cotele</w:t>
      </w:r>
      <w:proofErr w:type="spellEnd"/>
      <w:r w:rsidRPr="007E02A7">
        <w:rPr>
          <w:lang w:val="en-US"/>
        </w:rPr>
        <w:t xml:space="preserve"> </w:t>
      </w:r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concrete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impozitului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bunurile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imobiliare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2020</w:t>
      </w:r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E02A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conform anexei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nr.1.</w:t>
      </w:r>
    </w:p>
    <w:p w:rsidR="00BF530A" w:rsidRPr="000F6DBD" w:rsidRDefault="00BF530A" w:rsidP="00BF530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56D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Responsabil pentru îndeplinirea prezentei decizii este specialistul în perceperea plăţilor fiscale</w:t>
      </w:r>
      <w:r w:rsidRPr="00AC56D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d-na Guler Victoria.</w:t>
      </w:r>
    </w:p>
    <w:p w:rsidR="00BF530A" w:rsidRPr="000F6DBD" w:rsidRDefault="00BF530A" w:rsidP="00BF530A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intră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data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includerii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acesteia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Registrul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 al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actelor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locale,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atacată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Judecătoria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Orhei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termen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30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zile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data </w:t>
      </w:r>
      <w:proofErr w:type="spellStart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comunicării</w:t>
      </w:r>
      <w:proofErr w:type="spellEnd"/>
      <w:r w:rsidRPr="000F6D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F530A" w:rsidRPr="00AC56D5" w:rsidRDefault="00BF530A" w:rsidP="00BF530A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530A" w:rsidRPr="00AC56D5" w:rsidRDefault="00BF530A" w:rsidP="00BF530A">
      <w:pPr>
        <w:pStyle w:val="a3"/>
        <w:numPr>
          <w:ilvl w:val="0"/>
          <w:numId w:val="6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C56D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executării prezentei decizii se pune pe seama </w:t>
      </w:r>
      <w:proofErr w:type="spellStart"/>
      <w:r w:rsidRPr="00AC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</w:t>
      </w:r>
      <w:proofErr w:type="spellEnd"/>
      <w:r w:rsidRPr="00AC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AC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Comunei</w:t>
      </w:r>
      <w:proofErr w:type="spellEnd"/>
      <w:r w:rsidRPr="00AC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 w:rsidRPr="00AC56D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BF530A" w:rsidRDefault="00BF530A" w:rsidP="00BF530A">
      <w:pPr>
        <w:tabs>
          <w:tab w:val="left" w:pos="18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F530A" w:rsidRPr="0033264A" w:rsidRDefault="00BF530A" w:rsidP="00BF530A">
      <w:pPr>
        <w:tabs>
          <w:tab w:val="left" w:pos="18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530A" w:rsidRDefault="00BF530A" w:rsidP="00BF530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BF530A" w:rsidRDefault="00BF530A" w:rsidP="00BF530A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</w:t>
      </w:r>
    </w:p>
    <w:p w:rsidR="00BF530A" w:rsidRPr="005E2D61" w:rsidRDefault="00BF530A" w:rsidP="00BF530A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BF530A" w:rsidRDefault="00BF530A" w:rsidP="00BF5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</w:t>
      </w:r>
    </w:p>
    <w:p w:rsidR="00BF530A" w:rsidRDefault="00BF530A" w:rsidP="00BF530A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530A" w:rsidRDefault="00BF530A" w:rsidP="00BF530A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530A" w:rsidRDefault="00BF530A" w:rsidP="00BF530A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530A" w:rsidRDefault="00BF530A" w:rsidP="00BF530A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530A" w:rsidRDefault="00BF530A" w:rsidP="00BF530A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530A" w:rsidRDefault="00BF530A" w:rsidP="00BF530A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530A" w:rsidRPr="00D93A30" w:rsidRDefault="00BF530A" w:rsidP="00BF5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 </w:t>
      </w:r>
    </w:p>
    <w:p w:rsidR="00BF530A" w:rsidRPr="00D93A30" w:rsidRDefault="00BF530A" w:rsidP="00BF5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  <w:proofErr w:type="gram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3A3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zie</w:t>
      </w:r>
      <w:r w:rsidRPr="00D93A3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BF530A" w:rsidRPr="00D93A30" w:rsidRDefault="00BF530A" w:rsidP="00BF5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93A3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Comunal Zorile</w:t>
      </w:r>
    </w:p>
    <w:p w:rsidR="00BF530A" w:rsidRPr="00D93A30" w:rsidRDefault="00BF530A" w:rsidP="00BF530A">
      <w:pPr>
        <w:tabs>
          <w:tab w:val="left" w:pos="1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F530A" w:rsidRPr="00D93A30" w:rsidRDefault="00BF530A" w:rsidP="00BF530A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Cotele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concrete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impozitului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bunurile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imobiliare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2020</w:t>
      </w:r>
    </w:p>
    <w:p w:rsidR="00BF530A" w:rsidRPr="00D93A30" w:rsidRDefault="00BF530A" w:rsidP="00BF530A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9135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6208"/>
        <w:gridCol w:w="163"/>
        <w:gridCol w:w="71"/>
        <w:gridCol w:w="1817"/>
      </w:tblGrid>
      <w:tr w:rsidR="00BF530A" w:rsidRPr="00D93A30" w:rsidTr="00440FDA">
        <w:trPr>
          <w:trHeight w:val="285"/>
        </w:trPr>
        <w:tc>
          <w:tcPr>
            <w:tcW w:w="876" w:type="dxa"/>
          </w:tcPr>
          <w:p w:rsidR="00BF530A" w:rsidRPr="00D93A30" w:rsidRDefault="00BF530A" w:rsidP="00440FDA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>Nr. d/o</w:t>
            </w:r>
          </w:p>
        </w:tc>
        <w:tc>
          <w:tcPr>
            <w:tcW w:w="6371" w:type="dxa"/>
            <w:gridSpan w:val="2"/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Obiectele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impunerii</w:t>
            </w:r>
            <w:proofErr w:type="spellEnd"/>
          </w:p>
        </w:tc>
        <w:tc>
          <w:tcPr>
            <w:tcW w:w="1888" w:type="dxa"/>
            <w:gridSpan w:val="2"/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Cotele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BF530A" w:rsidRPr="004F23F1" w:rsidTr="00440FDA">
        <w:trPr>
          <w:trHeight w:val="255"/>
        </w:trPr>
        <w:tc>
          <w:tcPr>
            <w:tcW w:w="9135" w:type="dxa"/>
            <w:gridSpan w:val="5"/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concrete la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impozitul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evaluate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scopul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impozitării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(conform art. 280 din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titlul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VI al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Codului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fiscal</w:t>
            </w:r>
          </w:p>
        </w:tc>
      </w:tr>
      <w:tr w:rsidR="00BF530A" w:rsidRPr="00D93A30" w:rsidTr="00440FDA">
        <w:trPr>
          <w:trHeight w:val="285"/>
        </w:trPr>
        <w:tc>
          <w:tcPr>
            <w:tcW w:w="876" w:type="dxa"/>
          </w:tcPr>
          <w:p w:rsidR="00BF530A" w:rsidRPr="00D93A30" w:rsidRDefault="00BF530A" w:rsidP="00440FDA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88" w:type="dxa"/>
            <w:gridSpan w:val="2"/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BF530A" w:rsidRPr="004F23F1" w:rsidTr="00440FDA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BF530A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locativă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apartamente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case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locuit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individuale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aferente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acestor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); 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>0</w:t>
            </w:r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,1</w:t>
            </w:r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costul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F530A" w:rsidRPr="004F23F1" w:rsidTr="00440FDA">
        <w:trPr>
          <w:trHeight w:val="285"/>
        </w:trPr>
        <w:tc>
          <w:tcPr>
            <w:tcW w:w="876" w:type="dxa"/>
          </w:tcPr>
          <w:p w:rsidR="00BF530A" w:rsidRPr="00D93A30" w:rsidRDefault="00BF530A" w:rsidP="00BF530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garajele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acestea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888" w:type="dxa"/>
            <w:gridSpan w:val="2"/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proofErr w:type="gram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,1</w:t>
            </w:r>
            <w:proofErr w:type="gram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BF530A" w:rsidRPr="004F23F1" w:rsidTr="00440FDA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BF530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loturile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întovărășirilor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pomicole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fără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proofErr w:type="gram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,1</w:t>
            </w:r>
            <w:proofErr w:type="gram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BF530A" w:rsidRPr="004F23F1" w:rsidTr="00440FDA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BF530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agricole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ele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0,3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valoarea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contabilă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perioada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fiscală</w:t>
            </w:r>
            <w:proofErr w:type="spellEnd"/>
          </w:p>
        </w:tc>
      </w:tr>
      <w:tr w:rsidR="00BF530A" w:rsidRPr="004F23F1" w:rsidTr="00440FDA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BF530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cea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locativă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agricolă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exceptînd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garajele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acestea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loturile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întovărășirilor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pomicole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fără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ele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0,3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</w:p>
        </w:tc>
      </w:tr>
      <w:tr w:rsidR="00BF530A" w:rsidRPr="004F23F1" w:rsidTr="00440FDA">
        <w:trPr>
          <w:trHeight w:val="28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impozitul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funciar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scopul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impozitării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(conform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Anexei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nr. 1 la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Legea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punerea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aplicare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titlului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VI din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Codul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fiscal nr.1056 din16.06.2000</w:t>
            </w:r>
            <w:r w:rsidRPr="00D93A30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F530A" w:rsidRPr="004F23F1" w:rsidTr="00440FDA">
        <w:trPr>
          <w:trHeight w:val="10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6.</w:t>
            </w:r>
          </w:p>
        </w:tc>
        <w:tc>
          <w:tcPr>
            <w:tcW w:w="6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agricolă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F530A" w:rsidRPr="00D93A30" w:rsidRDefault="00BF530A" w:rsidP="00BF530A">
            <w:pPr>
              <w:numPr>
                <w:ilvl w:val="0"/>
                <w:numId w:val="2"/>
              </w:numPr>
              <w:tabs>
                <w:tab w:val="left" w:pos="18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fînețelor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pășunilor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F530A" w:rsidRPr="00D93A30" w:rsidRDefault="00BF530A" w:rsidP="00BF530A">
            <w:pPr>
              <w:numPr>
                <w:ilvl w:val="0"/>
                <w:numId w:val="3"/>
              </w:numPr>
              <w:tabs>
                <w:tab w:val="left" w:pos="18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F530A" w:rsidRPr="00D93A30" w:rsidRDefault="00BF530A" w:rsidP="00BF530A">
            <w:pPr>
              <w:numPr>
                <w:ilvl w:val="0"/>
                <w:numId w:val="3"/>
              </w:numPr>
              <w:tabs>
                <w:tab w:val="left" w:pos="180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 nu au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ţărăneşti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F530A" w:rsidRPr="00D93A30" w:rsidTr="00440FDA">
        <w:trPr>
          <w:trHeight w:val="51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</w:rPr>
              <w:t xml:space="preserve">1,5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grad-hectar</w:t>
            </w:r>
            <w:proofErr w:type="spellEnd"/>
          </w:p>
        </w:tc>
      </w:tr>
      <w:tr w:rsidR="00BF530A" w:rsidRPr="00D93A30" w:rsidTr="00440FDA">
        <w:trPr>
          <w:trHeight w:val="51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</w:rPr>
              <w:t xml:space="preserve">110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1hectar;</w:t>
            </w:r>
          </w:p>
        </w:tc>
      </w:tr>
      <w:tr w:rsidR="00BF530A" w:rsidRPr="004F23F1" w:rsidTr="00440FDA">
        <w:trPr>
          <w:trHeight w:val="4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fînețelor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pășunilor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a)care au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care nu au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F530A" w:rsidRPr="00D93A30" w:rsidTr="00440FDA">
        <w:trPr>
          <w:trHeight w:val="34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</w:rPr>
              <w:t xml:space="preserve">0,75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grad-hectar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BF530A" w:rsidRPr="00D93A30" w:rsidTr="00440FDA">
        <w:trPr>
          <w:trHeight w:val="43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</w:rPr>
              <w:t xml:space="preserve">55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hectar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BF530A" w:rsidRPr="004F23F1" w:rsidTr="00440FDA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ocupate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acvatice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iazuri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lacuri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115 lei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1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hectar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suprafaţă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acvatică</w:t>
            </w:r>
            <w:proofErr w:type="spellEnd"/>
          </w:p>
        </w:tc>
      </w:tr>
      <w:tr w:rsidR="00BF530A" w:rsidRPr="00D93A30" w:rsidTr="00440FDA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530A" w:rsidRPr="00D93A30" w:rsidRDefault="00BF530A" w:rsidP="00BF530A">
            <w:pPr>
              <w:numPr>
                <w:ilvl w:val="0"/>
                <w:numId w:val="4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fondul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locuințe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loturi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lîngă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domiciliu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atribuite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autoritățile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locale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loturi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lingă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domiciliu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distribuite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extravilan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din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cauza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insuficienței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grădini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localitățile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rurale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leu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m</w:t>
            </w: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F530A" w:rsidRPr="00D93A30" w:rsidTr="00440FDA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b) </w:t>
            </w:r>
            <w:proofErr w:type="spellStart"/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destinate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întreprinderilor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agricole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estimate.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100 m</w:t>
            </w:r>
            <w:r w:rsidRPr="00D93A30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D93A30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BF530A" w:rsidRPr="004F23F1" w:rsidTr="00440FDA">
        <w:trPr>
          <w:trHeight w:val="173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6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extravilan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BF530A" w:rsidRPr="00D93A30" w:rsidRDefault="00BF530A" w:rsidP="00BF530A">
            <w:pPr>
              <w:numPr>
                <w:ilvl w:val="1"/>
                <w:numId w:val="2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clădiri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carierele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pămînturile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distruse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urma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activității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producție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estimate;</w:t>
            </w:r>
          </w:p>
          <w:p w:rsidR="00BF530A" w:rsidRPr="00D93A30" w:rsidRDefault="00BF530A" w:rsidP="00BF530A">
            <w:pPr>
              <w:numPr>
                <w:ilvl w:val="2"/>
                <w:numId w:val="2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extravilan</w:t>
            </w:r>
            <w:proofErr w:type="spellEnd"/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2666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F530A" w:rsidRPr="00D93A30" w:rsidRDefault="00BF530A" w:rsidP="00BF530A">
            <w:pPr>
              <w:numPr>
                <w:ilvl w:val="2"/>
                <w:numId w:val="2"/>
              </w:numPr>
              <w:tabs>
                <w:tab w:val="left" w:pos="18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  <w:p w:rsidR="00BF530A" w:rsidRPr="00D93A30" w:rsidRDefault="00BF530A" w:rsidP="00BF530A">
            <w:pPr>
              <w:numPr>
                <w:ilvl w:val="1"/>
                <w:numId w:val="2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alin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. 1),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estimate.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F530A" w:rsidRPr="00D93A30" w:rsidTr="00440FDA">
        <w:trPr>
          <w:trHeight w:val="559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350 lei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pentru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hecta</w:t>
            </w:r>
            <w:r w:rsidRPr="00D93A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93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F530A" w:rsidRPr="00D93A30" w:rsidTr="00440FDA">
        <w:trPr>
          <w:trHeight w:val="641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>1000 lei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F530A" w:rsidRPr="00D93A30" w:rsidTr="00440FDA">
        <w:trPr>
          <w:trHeight w:val="126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70 lei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hectar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BF530A" w:rsidRPr="004F23F1" w:rsidTr="00440FDA">
        <w:trPr>
          <w:trHeight w:val="28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29627A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concrete la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impozitul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pe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clădirile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construcţiile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casele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locuit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lastRenderedPageBreak/>
              <w:t>individuale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apartamentele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şi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alte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încăperi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izolate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, inclusive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cele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aflate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la o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etapă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finisare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construcţiei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50%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şi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mai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mult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rămase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nefinisate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timp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3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ani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după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începutul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lucrărilor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construcţie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neevaluate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către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organele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cadastrale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scopul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impozitării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(conform Anexei.2 la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Legea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punerea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aplicare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titlului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VI din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Codul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fiscal nr.1056 din 16.06.2000)</w:t>
            </w:r>
          </w:p>
        </w:tc>
      </w:tr>
      <w:tr w:rsidR="00BF530A" w:rsidRPr="004F23F1" w:rsidTr="00440FDA">
        <w:trPr>
          <w:trHeight w:val="16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9.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clădirile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construcțiile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agricolă,garajele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construcţiileamplasatepeterenurileloturilorîntovărăşirilorpomicole,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estimate,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a)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juridice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desfășoară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activitate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întreprinzător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b) </w:t>
            </w:r>
            <w:proofErr w:type="spellStart"/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la lit. a).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 0,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valoarea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contabilă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perioada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fiscală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F530A" w:rsidRPr="004F23F1" w:rsidTr="00440FDA">
        <w:trPr>
          <w:trHeight w:val="11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proofErr w:type="gram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proofErr w:type="gram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BF530A" w:rsidRPr="004F23F1" w:rsidTr="00440FDA">
        <w:trPr>
          <w:trHeight w:val="121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pct. 9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pct.11,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estimate,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BF530A" w:rsidRPr="00D93A30" w:rsidRDefault="00BF530A" w:rsidP="00BF530A">
            <w:pPr>
              <w:numPr>
                <w:ilvl w:val="0"/>
                <w:numId w:val="5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juridice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desfășoară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activitate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întreprinzător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F530A" w:rsidRPr="00D93A30" w:rsidRDefault="00BF530A" w:rsidP="00BF530A">
            <w:pPr>
              <w:numPr>
                <w:ilvl w:val="0"/>
                <w:numId w:val="5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la lit. a)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F530A" w:rsidRPr="004F23F1" w:rsidTr="00440FDA">
        <w:trPr>
          <w:trHeight w:val="63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la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sută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din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valoarea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contabilă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bunurilor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imobiliare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pe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perioada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fiscală</w:t>
            </w:r>
            <w:proofErr w:type="spellEnd"/>
          </w:p>
        </w:tc>
      </w:tr>
      <w:tr w:rsidR="00BF530A" w:rsidRPr="004F23F1" w:rsidTr="00440FDA">
        <w:trPr>
          <w:trHeight w:val="9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0,3 </w:t>
            </w:r>
            <w:r w:rsidRPr="00D93A3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la sută din costul bunurilor imobiliare</w:t>
            </w:r>
            <w:r w:rsidRPr="00D93A3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F530A" w:rsidRPr="004F23F1" w:rsidTr="00440FDA">
        <w:trPr>
          <w:trHeight w:val="1266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6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30A" w:rsidRDefault="00BF530A" w:rsidP="00440FDA">
            <w:p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destinaţie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locativă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apartamente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case de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locuit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individuale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) din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localităţile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rurale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stabileşte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după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cum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urmează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530A" w:rsidRPr="0029627A" w:rsidRDefault="00BF530A" w:rsidP="00440FDA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F530A" w:rsidRDefault="00BF530A" w:rsidP="00440FDA">
            <w:p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a)</w:t>
            </w:r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29627A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proofErr w:type="gram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juridice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desfăşoar</w:t>
            </w:r>
            <w:r>
              <w:rPr>
                <w:rFonts w:ascii="Times New Roman" w:hAnsi="Times New Roman" w:cs="Times New Roman"/>
                <w:lang w:val="en-US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întreprinzător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F530A" w:rsidRPr="0029627A" w:rsidRDefault="00BF530A" w:rsidP="00440FDA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b) </w:t>
            </w:r>
            <w:proofErr w:type="spellStart"/>
            <w:proofErr w:type="gramStart"/>
            <w:r w:rsidRPr="0029627A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proofErr w:type="gram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3A30">
              <w:rPr>
                <w:rFonts w:ascii="Times New Roman" w:hAnsi="Times New Roman" w:cs="Times New Roman"/>
                <w:lang w:val="en-US"/>
              </w:rPr>
              <w:t>lit. a)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BF530A" w:rsidRPr="004F23F1" w:rsidTr="00440FDA">
        <w:trPr>
          <w:trHeight w:val="93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30A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30A" w:rsidRPr="0029627A" w:rsidRDefault="00BF530A" w:rsidP="00440FDA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29627A">
              <w:rPr>
                <w:rFonts w:ascii="Times New Roman" w:hAnsi="Times New Roman" w:cs="Times New Roman"/>
                <w:lang w:val="en-US"/>
              </w:rPr>
              <w:t xml:space="preserve">0,1 la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sută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valoarea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contabilă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bunurilor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perioada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fiscală</w:t>
            </w:r>
            <w:proofErr w:type="spellEnd"/>
          </w:p>
        </w:tc>
      </w:tr>
      <w:tr w:rsidR="00BF530A" w:rsidRPr="004F23F1" w:rsidTr="00440FDA">
        <w:trPr>
          <w:trHeight w:val="82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Default="00BF530A" w:rsidP="00440FDA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29627A" w:rsidRDefault="00BF530A" w:rsidP="00440FDA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29627A">
              <w:rPr>
                <w:rFonts w:ascii="Times New Roman" w:hAnsi="Times New Roman" w:cs="Times New Roman"/>
                <w:lang w:val="en-US"/>
              </w:rPr>
              <w:t xml:space="preserve">– 0,1 la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sută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costul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bunurilor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</w:p>
        </w:tc>
      </w:tr>
      <w:tr w:rsidR="00BF530A" w:rsidRPr="004F23F1" w:rsidTr="00440FDA">
        <w:trPr>
          <w:trHeight w:val="28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Nota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cazurile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suprafața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totală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locuințelor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construcțiilor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principale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ale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persoanelor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care nu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desfășoară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activitate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întreprinzător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înregistrate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drept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proprietate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depășește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100 m2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concrete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stabilite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ale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impozitului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se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majorează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funcție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suprafața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totală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după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cum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urmează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D93A30">
              <w:rPr>
                <w:rFonts w:ascii="Times New Roman" w:hAnsi="Times New Roman" w:cs="Times New Roman"/>
                <w:i/>
                <w:lang w:val="en-US"/>
              </w:rPr>
              <w:lastRenderedPageBreak/>
              <w:t>- de la 100 la 150 m</w:t>
            </w:r>
            <w:r w:rsidRPr="00D93A30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– de 1,5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>;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- de la 150 la 200 m</w:t>
            </w:r>
            <w:r w:rsidRPr="00D93A30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– de 2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; 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D93A30">
              <w:rPr>
                <w:rFonts w:ascii="Times New Roman" w:hAnsi="Times New Roman" w:cs="Times New Roman"/>
                <w:i/>
                <w:lang w:val="en-US"/>
              </w:rPr>
              <w:t>- de la 200 la 300 m</w:t>
            </w:r>
            <w:r w:rsidRPr="00D93A30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– de 10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; 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- </w:t>
            </w:r>
            <w:proofErr w:type="spellStart"/>
            <w:proofErr w:type="gram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peste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300 m</w:t>
            </w:r>
            <w:r w:rsidRPr="00D93A30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– de 15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</w:p>
          <w:p w:rsidR="00BF530A" w:rsidRPr="00D93A30" w:rsidRDefault="00BF530A" w:rsidP="00440FD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Construcție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principală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–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construcție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înregistrată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drept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proprietate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persoanei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, care are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destinație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locuință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şi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nu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este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antrenată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activitatea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întreprinzător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</w:tbl>
    <w:p w:rsidR="00BF530A" w:rsidRPr="00D93A30" w:rsidRDefault="00BF530A" w:rsidP="00BF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50946" w:rsidRDefault="00BF530A" w:rsidP="00BF530A"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Contrasemnează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 </w:t>
      </w:r>
      <w:proofErr w:type="gramStart"/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</w:t>
      </w:r>
      <w:bookmarkStart w:id="7" w:name="_GoBack"/>
      <w:bookmarkEnd w:id="7"/>
    </w:p>
    <w:sectPr w:rsidR="0065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9BB"/>
    <w:multiLevelType w:val="hybridMultilevel"/>
    <w:tmpl w:val="8C6225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84A02"/>
    <w:multiLevelType w:val="hybridMultilevel"/>
    <w:tmpl w:val="15A83820"/>
    <w:lvl w:ilvl="0" w:tplc="0419000F">
      <w:start w:val="1"/>
      <w:numFmt w:val="decimal"/>
      <w:lvlText w:val="%1."/>
      <w:lvlJc w:val="left"/>
      <w:pPr>
        <w:ind w:left="551" w:hanging="360"/>
      </w:pPr>
    </w:lvl>
    <w:lvl w:ilvl="1" w:tplc="96CA42BC">
      <w:start w:val="1"/>
      <w:numFmt w:val="decimal"/>
      <w:lvlText w:val="%2)"/>
      <w:lvlJc w:val="left"/>
      <w:pPr>
        <w:ind w:left="1271" w:hanging="360"/>
      </w:pPr>
      <w:rPr>
        <w:rFonts w:hint="default"/>
      </w:rPr>
    </w:lvl>
    <w:lvl w:ilvl="2" w:tplc="B148CB66">
      <w:start w:val="1"/>
      <w:numFmt w:val="lowerLetter"/>
      <w:lvlText w:val="%3)"/>
      <w:lvlJc w:val="left"/>
      <w:pPr>
        <w:ind w:left="2277" w:hanging="85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18D221B"/>
    <w:multiLevelType w:val="hybridMultilevel"/>
    <w:tmpl w:val="17D219C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5D7CBA"/>
    <w:multiLevelType w:val="hybridMultilevel"/>
    <w:tmpl w:val="A1BE5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674DB"/>
    <w:multiLevelType w:val="hybridMultilevel"/>
    <w:tmpl w:val="25406F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72D7B"/>
    <w:multiLevelType w:val="multilevel"/>
    <w:tmpl w:val="121E7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52"/>
    <w:rsid w:val="00650946"/>
    <w:rsid w:val="00760A52"/>
    <w:rsid w:val="00B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F530A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BF530A"/>
  </w:style>
  <w:style w:type="paragraph" w:styleId="a5">
    <w:name w:val="Balloon Text"/>
    <w:basedOn w:val="a"/>
    <w:link w:val="a6"/>
    <w:uiPriority w:val="99"/>
    <w:semiHidden/>
    <w:unhideWhenUsed/>
    <w:rsid w:val="00BF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F530A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BF530A"/>
  </w:style>
  <w:style w:type="paragraph" w:styleId="a5">
    <w:name w:val="Balloon Text"/>
    <w:basedOn w:val="a"/>
    <w:link w:val="a6"/>
    <w:uiPriority w:val="99"/>
    <w:semiHidden/>
    <w:unhideWhenUsed/>
    <w:rsid w:val="00BF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2019-12-03T13:38:00Z</dcterms:created>
  <dcterms:modified xsi:type="dcterms:W3CDTF">2019-12-03T13:38:00Z</dcterms:modified>
</cp:coreProperties>
</file>